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i/>
          <w:iCs/>
          <w:color w:val="000000"/>
          <w:lang w:val="en-US" w:eastAsia="en-US"/>
        </w:rPr>
      </w:pP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Buxoro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viloyati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proofErr w:type="gramStart"/>
      <w:r w:rsidRPr="00703C55">
        <w:rPr>
          <w:rFonts w:eastAsiaTheme="minorHAnsi"/>
          <w:i/>
          <w:iCs/>
          <w:color w:val="000000"/>
          <w:lang w:val="en-US" w:eastAsia="en-US"/>
        </w:rPr>
        <w:t>adliya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boshqarmasi</w:t>
      </w:r>
      <w:proofErr w:type="spellEnd"/>
      <w:proofErr w:type="gram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boshligʻining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202</w:t>
      </w:r>
      <w:r>
        <w:rPr>
          <w:rFonts w:eastAsiaTheme="minorHAnsi"/>
          <w:i/>
          <w:iCs/>
          <w:color w:val="000000"/>
          <w:lang w:val="en-US" w:eastAsia="en-US"/>
        </w:rPr>
        <w:t>3</w:t>
      </w:r>
      <w:r w:rsidRPr="00703C55">
        <w:rPr>
          <w:rFonts w:eastAsiaTheme="minorHAnsi"/>
          <w:i/>
          <w:iCs/>
          <w:color w:val="000000"/>
          <w:lang w:val="en-US" w:eastAsia="en-US"/>
        </w:rPr>
        <w:t>-yil 3</w:t>
      </w:r>
      <w:r>
        <w:rPr>
          <w:rFonts w:eastAsiaTheme="minorHAnsi"/>
          <w:i/>
          <w:iCs/>
          <w:color w:val="000000"/>
          <w:lang w:val="en-US" w:eastAsia="en-US"/>
        </w:rPr>
        <w:t>1</w:t>
      </w:r>
      <w:r w:rsidRPr="00703C55">
        <w:rPr>
          <w:rFonts w:eastAsiaTheme="minorHAnsi"/>
          <w:i/>
          <w:iCs/>
          <w:color w:val="000000"/>
          <w:lang w:val="en-US" w:eastAsia="en-US"/>
        </w:rPr>
        <w:t>-</w:t>
      </w:r>
      <w:r>
        <w:rPr>
          <w:rFonts w:eastAsiaTheme="minorHAnsi"/>
          <w:i/>
          <w:iCs/>
          <w:color w:val="000000"/>
          <w:lang w:val="en-US" w:eastAsia="en-US"/>
        </w:rPr>
        <w:t>yanvar</w:t>
      </w:r>
      <w:r w:rsidRPr="00703C55">
        <w:rPr>
          <w:rFonts w:eastAsiaTheme="minorHAnsi"/>
          <w:i/>
          <w:iCs/>
          <w:color w:val="000000"/>
          <w:lang w:val="en-US" w:eastAsia="en-US"/>
        </w:rPr>
        <w:t xml:space="preserve">dagi </w:t>
      </w:r>
      <w:r w:rsidRPr="00703C55">
        <w:rPr>
          <w:rFonts w:eastAsiaTheme="minorHAnsi"/>
          <w:i/>
          <w:iCs/>
          <w:color w:val="000000"/>
          <w:lang w:val="en-US" w:eastAsia="en-US"/>
        </w:rPr>
        <w:br/>
        <w:t>-um-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sonli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buyrugʻiga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i/>
          <w:iCs/>
          <w:color w:val="000000"/>
          <w:lang w:val="en-US" w:eastAsia="en-US"/>
        </w:rPr>
      </w:pPr>
      <w:r w:rsidRPr="00703C55">
        <w:rPr>
          <w:rFonts w:eastAsiaTheme="minorHAnsi"/>
          <w:i/>
          <w:iCs/>
          <w:color w:val="000000"/>
          <w:lang w:val="en-US" w:eastAsia="en-US"/>
        </w:rPr>
        <w:t>1-ilova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val="en-US" w:eastAsia="en-US"/>
        </w:rPr>
      </w:pP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proofErr w:type="spellStart"/>
      <w:r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>G’ijduvon</w:t>
      </w:r>
      <w:proofErr w:type="spellEnd"/>
      <w:r w:rsidRPr="00703C55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>tumani</w:t>
      </w:r>
      <w:proofErr w:type="spellEnd"/>
      <w:r w:rsidRPr="00703C55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 xml:space="preserve"> </w:t>
      </w:r>
      <w:r w:rsidRPr="00703C55">
        <w:rPr>
          <w:rFonts w:eastAsiaTheme="minorHAnsi"/>
          <w:b/>
          <w:bCs/>
          <w:sz w:val="26"/>
          <w:szCs w:val="26"/>
          <w:lang w:val="en-US" w:eastAsia="en-US"/>
        </w:rPr>
        <w:t xml:space="preserve">FHDY </w:t>
      </w:r>
      <w:proofErr w:type="spellStart"/>
      <w:r w:rsidRPr="00703C55">
        <w:rPr>
          <w:rFonts w:eastAsiaTheme="minorHAnsi"/>
          <w:b/>
          <w:bCs/>
          <w:sz w:val="26"/>
          <w:szCs w:val="26"/>
          <w:lang w:val="en-US" w:eastAsia="en-US"/>
        </w:rPr>
        <w:t>boʻlimini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tekshirish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boʻyicha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proofErr w:type="spell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Ishchi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guruhi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tarkibi</w:t>
      </w:r>
      <w:proofErr w:type="spellEnd"/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T A R K I B I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iCs/>
          <w:sz w:val="28"/>
          <w:szCs w:val="28"/>
          <w:lang w:val="en-US" w:eastAsia="en-US"/>
        </w:rPr>
      </w:pP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A.Mubarakov</w:t>
      </w:r>
      <w:proofErr w:type="spellEnd"/>
      <w:proofErr w:type="gram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  <w:t>-</w:t>
      </w: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Davlat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xizmatlari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markazlari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FHDY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organlari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ind w:left="2130" w:firstLine="705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faoliyatini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muvofiqlashtirish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boshligʻi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ind w:left="2130" w:firstLine="705"/>
        <w:rPr>
          <w:rFonts w:eastAsiaTheme="minorHAnsi"/>
          <w:i/>
          <w:iCs/>
          <w:sz w:val="28"/>
          <w:szCs w:val="28"/>
          <w:lang w:val="en-US" w:eastAsia="en-US"/>
        </w:rPr>
      </w:pPr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(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Ishchi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guruhi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rahbari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)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B.Rahmanov</w:t>
      </w:r>
      <w:proofErr w:type="spellEnd"/>
      <w:proofErr w:type="gram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  <w:t>-</w:t>
      </w: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Rejalashtirish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samaradorlikni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baholash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ind w:left="2130" w:firstLine="705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yetakchi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maslahatchisi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val="en-US" w:eastAsia="en-US"/>
        </w:rPr>
      </w:pPr>
      <w:proofErr w:type="spellStart"/>
      <w:proofErr w:type="gram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T.Djurayeva</w:t>
      </w:r>
      <w:proofErr w:type="spellEnd"/>
      <w:proofErr w:type="gram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  <w:t>-</w:t>
      </w: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Jondor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tumani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FHDY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mudirasi</w:t>
      </w:r>
      <w:proofErr w:type="spellEnd"/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sz w:val="28"/>
          <w:szCs w:val="28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sz w:val="28"/>
          <w:szCs w:val="28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lang w:val="en-US" w:eastAsia="en-US"/>
        </w:rPr>
      </w:pP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i/>
          <w:iCs/>
          <w:color w:val="000000"/>
          <w:lang w:val="en-US" w:eastAsia="en-US"/>
        </w:rPr>
      </w:pP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lastRenderedPageBreak/>
        <w:t>Buxoro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viloyati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proofErr w:type="gramStart"/>
      <w:r w:rsidRPr="00703C55">
        <w:rPr>
          <w:rFonts w:eastAsiaTheme="minorHAnsi"/>
          <w:i/>
          <w:iCs/>
          <w:color w:val="000000"/>
          <w:lang w:val="en-US" w:eastAsia="en-US"/>
        </w:rPr>
        <w:t>adliya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boshqarmasi</w:t>
      </w:r>
      <w:proofErr w:type="spellEnd"/>
      <w:proofErr w:type="gram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boshligʻining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202</w:t>
      </w:r>
      <w:r>
        <w:rPr>
          <w:rFonts w:eastAsiaTheme="minorHAnsi"/>
          <w:i/>
          <w:iCs/>
          <w:color w:val="000000"/>
          <w:lang w:val="en-US" w:eastAsia="en-US"/>
        </w:rPr>
        <w:t>3</w:t>
      </w:r>
      <w:r w:rsidRPr="00703C55">
        <w:rPr>
          <w:rFonts w:eastAsiaTheme="minorHAnsi"/>
          <w:i/>
          <w:iCs/>
          <w:color w:val="000000"/>
          <w:lang w:val="en-US" w:eastAsia="en-US"/>
        </w:rPr>
        <w:t>-yil 3</w:t>
      </w:r>
      <w:r>
        <w:rPr>
          <w:rFonts w:eastAsiaTheme="minorHAnsi"/>
          <w:i/>
          <w:iCs/>
          <w:color w:val="000000"/>
          <w:lang w:val="en-US" w:eastAsia="en-US"/>
        </w:rPr>
        <w:t>1</w:t>
      </w:r>
      <w:r w:rsidRPr="00703C55">
        <w:rPr>
          <w:rFonts w:eastAsiaTheme="minorHAnsi"/>
          <w:i/>
          <w:iCs/>
          <w:color w:val="000000"/>
          <w:lang w:val="en-US" w:eastAsia="en-US"/>
        </w:rPr>
        <w:t>-</w:t>
      </w:r>
      <w:r>
        <w:rPr>
          <w:rFonts w:eastAsiaTheme="minorHAnsi"/>
          <w:i/>
          <w:iCs/>
          <w:color w:val="000000"/>
          <w:lang w:val="en-US" w:eastAsia="en-US"/>
        </w:rPr>
        <w:t>yanvar</w:t>
      </w:r>
      <w:r w:rsidRPr="00703C55">
        <w:rPr>
          <w:rFonts w:eastAsiaTheme="minorHAnsi"/>
          <w:i/>
          <w:iCs/>
          <w:color w:val="000000"/>
          <w:lang w:val="en-US" w:eastAsia="en-US"/>
        </w:rPr>
        <w:t xml:space="preserve">dagi </w:t>
      </w:r>
      <w:r w:rsidRPr="00703C55">
        <w:rPr>
          <w:rFonts w:eastAsiaTheme="minorHAnsi"/>
          <w:i/>
          <w:iCs/>
          <w:color w:val="000000"/>
          <w:lang w:val="en-US" w:eastAsia="en-US"/>
        </w:rPr>
        <w:br/>
        <w:t>-um-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sonli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color w:val="000000"/>
          <w:lang w:val="en-US" w:eastAsia="en-US"/>
        </w:rPr>
        <w:t>buyrugʻiga</w:t>
      </w:r>
      <w:proofErr w:type="spellEnd"/>
      <w:r w:rsidRPr="00703C55">
        <w:rPr>
          <w:rFonts w:eastAsiaTheme="minorHAnsi"/>
          <w:i/>
          <w:iCs/>
          <w:color w:val="000000"/>
          <w:lang w:val="en-US" w:eastAsia="en-US"/>
        </w:rPr>
        <w:t xml:space="preserve"> </w:t>
      </w:r>
    </w:p>
    <w:p w:rsidR="00FA0420" w:rsidRPr="00703C55" w:rsidRDefault="00FA0420" w:rsidP="00FA0420">
      <w:pPr>
        <w:tabs>
          <w:tab w:val="left" w:pos="750"/>
          <w:tab w:val="left" w:pos="1125"/>
        </w:tabs>
        <w:autoSpaceDE w:val="0"/>
        <w:autoSpaceDN w:val="0"/>
        <w:adjustRightInd w:val="0"/>
        <w:spacing w:line="276" w:lineRule="auto"/>
        <w:ind w:left="5100"/>
        <w:jc w:val="center"/>
        <w:rPr>
          <w:rFonts w:eastAsiaTheme="minorHAnsi"/>
          <w:i/>
          <w:iCs/>
          <w:color w:val="000000"/>
          <w:lang w:val="en-US" w:eastAsia="en-US"/>
        </w:rPr>
      </w:pPr>
      <w:r w:rsidRPr="00703C55">
        <w:rPr>
          <w:rFonts w:eastAsiaTheme="minorHAnsi"/>
          <w:i/>
          <w:iCs/>
          <w:color w:val="000000"/>
          <w:lang w:val="en-US" w:eastAsia="en-US"/>
        </w:rPr>
        <w:t>2-ilova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val="en-US" w:eastAsia="en-US"/>
        </w:rPr>
      </w:pP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proofErr w:type="spellStart"/>
      <w:r w:rsidRPr="00D2087A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>G’ijduvon</w:t>
      </w:r>
      <w:proofErr w:type="spellEnd"/>
      <w:r w:rsidRPr="00703C55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>tumani</w:t>
      </w:r>
      <w:proofErr w:type="spellEnd"/>
      <w:r w:rsidRPr="00703C55">
        <w:rPr>
          <w:rFonts w:eastAsiaTheme="minorHAnsi"/>
          <w:b/>
          <w:bCs/>
          <w:color w:val="000000"/>
          <w:sz w:val="26"/>
          <w:szCs w:val="26"/>
          <w:lang w:val="en-US" w:eastAsia="en-US"/>
        </w:rPr>
        <w:t xml:space="preserve"> </w:t>
      </w:r>
      <w:r w:rsidRPr="00703C55">
        <w:rPr>
          <w:rFonts w:eastAsiaTheme="minorHAnsi"/>
          <w:b/>
          <w:bCs/>
          <w:sz w:val="26"/>
          <w:szCs w:val="26"/>
          <w:lang w:val="en-US" w:eastAsia="en-US"/>
        </w:rPr>
        <w:t xml:space="preserve">FHDY </w:t>
      </w:r>
      <w:proofErr w:type="spellStart"/>
      <w:r w:rsidRPr="00703C55">
        <w:rPr>
          <w:rFonts w:eastAsiaTheme="minorHAnsi"/>
          <w:b/>
          <w:bCs/>
          <w:sz w:val="26"/>
          <w:szCs w:val="26"/>
          <w:lang w:val="en-US" w:eastAsia="en-US"/>
        </w:rPr>
        <w:t>boʻlimi</w:t>
      </w: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ning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faoliyatini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tekshirish</w:t>
      </w:r>
      <w:proofErr w:type="spellEnd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 xml:space="preserve">SAVOLNOMASI </w:t>
      </w:r>
    </w:p>
    <w:p w:rsidR="00FA0420" w:rsidRPr="00703C55" w:rsidRDefault="00FA0420" w:rsidP="00FA0420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8"/>
          <w:szCs w:val="28"/>
          <w:lang w:val="en-US" w:eastAsia="en-US"/>
        </w:rPr>
      </w:pP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0" w:name="_Hlk115074538"/>
      <w:bookmarkEnd w:id="0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1. 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Xodimlarning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belgilangan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vaqtlarda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ishga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kelish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ahvoli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;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Xodimlarning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kiyinish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madaniyatiga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fuqarolar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bilan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munosabatda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muomala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madaniyatiga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rioya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i/>
          <w:iCs/>
          <w:sz w:val="28"/>
          <w:szCs w:val="28"/>
          <w:lang w:val="en-US" w:eastAsia="en-US"/>
        </w:rPr>
      </w:pPr>
      <w:bookmarkStart w:id="1" w:name="_Hlk115074547"/>
      <w:bookmarkEnd w:id="1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2. 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Boʻlimdagi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peshlavhalarning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mavjudligi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(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koʻrgazmali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peshlavhalar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yaʼni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davlat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boji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stavkalari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gerb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yigʻimi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pullik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xizmat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toʻlovlari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miqdori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ariza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harakatlar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namunalari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fuqarolarni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qabul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qilish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kunlari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jadvallari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). 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2" w:name="_Hlk115074561"/>
      <w:bookmarkEnd w:id="2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3. </w:t>
      </w:r>
      <w:r w:rsidRPr="00703C55">
        <w:rPr>
          <w:rFonts w:eastAsiaTheme="minorHAnsi"/>
          <w:sz w:val="28"/>
          <w:szCs w:val="28"/>
          <w:lang w:val="en-US" w:eastAsia="en-US"/>
        </w:rPr>
        <w:t xml:space="preserve">Muqaddam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faoliyati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oʻrganilganligi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unda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koʻrsatilgan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kamchiliklarning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bartaraf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qilinganligi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. 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jc w:val="both"/>
        <w:rPr>
          <w:rFonts w:eastAsiaTheme="minorHAnsi"/>
          <w:sz w:val="28"/>
          <w:szCs w:val="28"/>
          <w:lang w:val="en-US" w:eastAsia="en-US"/>
        </w:rPr>
      </w:pPr>
      <w:bookmarkStart w:id="3" w:name="_Hlk115074569"/>
      <w:bookmarkEnd w:id="3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  <w:t>4. 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tomonidan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amalga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oshirilgan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harakat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uchun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toʻlovlarni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maxsus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kassa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(terminal)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orqali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qabul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jarayonini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(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bunda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kunlik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harakat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uchun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kunlik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toʻlovlar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amalga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oshirilishiga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eʼtibor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qaratiladi</w:t>
      </w:r>
      <w:proofErr w:type="spellEnd"/>
      <w:r w:rsidRPr="00703C55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4" w:name="_Hlk115074585"/>
      <w:bookmarkEnd w:id="4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5.</w:t>
      </w:r>
      <w:r w:rsidRPr="00703C55">
        <w:rPr>
          <w:rFonts w:eastAsiaTheme="minorHAnsi"/>
          <w:sz w:val="28"/>
          <w:szCs w:val="28"/>
          <w:lang w:val="en-US" w:eastAsia="en-US"/>
        </w:rPr>
        <w:t xml:space="preserve"> FHDY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harakatlarini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amalga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oshirishda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davlat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boji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gerb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yigʻimi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pullik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xizmat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toʻlovlarining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undirilishi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ahvoli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ab/>
      </w:r>
      <w:bookmarkStart w:id="5" w:name="_Hlk115075899"/>
      <w:bookmarkEnd w:id="5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6. 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reja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uning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bajarilishi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yuzasidan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hujjatlar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toʻplami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yuritilishi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ahvoli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6" w:name="_Hlk115075917"/>
      <w:bookmarkEnd w:id="6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7. 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yuritish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hujjatlarini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tasdiqlangan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nomenklaturaga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03C55">
        <w:rPr>
          <w:rFonts w:eastAsiaTheme="minorHAnsi"/>
          <w:sz w:val="28"/>
          <w:szCs w:val="28"/>
          <w:lang w:val="en-US" w:eastAsia="en-US"/>
        </w:rPr>
        <w:t>muvofiq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ochilganligi</w:t>
      </w:r>
      <w:proofErr w:type="spellEnd"/>
      <w:proofErr w:type="gram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yuritilganligi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holati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7" w:name="_Hlk115075934"/>
      <w:bookmarkEnd w:id="7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8.</w:t>
      </w:r>
      <w:r w:rsidRPr="00703C55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Fuqarolarni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qabul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kelib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tushgan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xat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xabar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arizalar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bilan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ishlash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ahvoli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ularni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ijro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muddatlari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tartiblariga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rioya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qilinishi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. 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8" w:name="_Hlk115076064"/>
      <w:bookmarkEnd w:id="8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9.</w:t>
      </w:r>
      <w:r w:rsidRPr="00703C55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Adliya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vazirligi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viloyat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adliya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boshqarmasi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boshqa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vakolatli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idoralar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tomonidan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berilgan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topshiriq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xat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koʻrsatma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soʻrovnomalarning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ijro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qilinishi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ahvoli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9" w:name="_Hlk115076084"/>
      <w:bookmarkEnd w:id="9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10.</w:t>
      </w:r>
      <w:r w:rsidRPr="00703C55">
        <w:rPr>
          <w:rFonts w:eastAsiaTheme="minorHAnsi"/>
          <w:sz w:val="28"/>
          <w:szCs w:val="28"/>
          <w:lang w:val="en-US" w:eastAsia="en-US"/>
        </w:rPr>
        <w:t>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oʻtkazilayotgan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davr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mobaynida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FHDY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boʻlimi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(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xodimlari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)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xatti-harakatlari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yuzasidan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kelib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tushgan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shikoyatlar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ularni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koʻrib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chiqish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natijalari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shikoyatlarning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kelib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tushish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sabablari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. 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10" w:name="_Hlk115076190"/>
      <w:bookmarkEnd w:id="10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11. 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Tugʻilganlikni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tugʻilganlikni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muddatini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oʻtkazib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yolgʻiz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ona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otalikni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belgilash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farzandlikka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olish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holatini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rasmiylashtirilishi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hamda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yozuvlarining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sifatli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toʻldirilishini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11" w:name="_Hlk115079792"/>
      <w:bookmarkEnd w:id="11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12. 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tuzilganligini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qonuniyligi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hamda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yozuvlarining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sifatli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toʻldirilishini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Bunda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,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sz w:val="28"/>
          <w:szCs w:val="28"/>
          <w:lang w:val="en-US" w:eastAsia="en-US"/>
        </w:rPr>
        <w:t>-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tartibi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muddatlariga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rioya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muddatlarning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qisqartirilishi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asosligi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nikohlanuvchilarning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tibbiy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koʻrikdan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oʻtganligi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; 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sz w:val="28"/>
          <w:szCs w:val="28"/>
          <w:lang w:val="en-US" w:eastAsia="en-US"/>
        </w:rPr>
        <w:t xml:space="preserve">- MDH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davlatlari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chet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el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fuqarolari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fuqaroligi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boʻlmagan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shaxslarning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tartibiga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rioya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qilinishini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;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12" w:name="_Hlk115094624"/>
      <w:bookmarkEnd w:id="12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13. 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ajralganlikni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qonuniyligi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hamda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yozuvlarining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sifatli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toʻldirilishini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Bunda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,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sz w:val="28"/>
          <w:szCs w:val="28"/>
          <w:lang w:val="en-US" w:eastAsia="en-US"/>
        </w:rPr>
        <w:t>-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voyaga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yetmagan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farzandlari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boʻlmagan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er-xotinlarni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ularning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oʻzaro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roziligiga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koʻra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ajratishni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tartibiga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rioya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qilinishi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;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sz w:val="28"/>
          <w:szCs w:val="28"/>
          <w:lang w:val="en-US" w:eastAsia="en-US"/>
        </w:rPr>
        <w:t>-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yoki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xotindan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birining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arizasi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asosida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ajratish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tartiblariga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rioya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;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sz w:val="28"/>
          <w:szCs w:val="28"/>
          <w:lang w:val="en-US" w:eastAsia="en-US"/>
        </w:rPr>
        <w:t xml:space="preserve">-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sud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qarori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asosida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nikohdan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ajratishni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tartibiga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rioya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qilinishi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;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bookmarkStart w:id="13" w:name="_Hlk115096185"/>
      <w:bookmarkEnd w:id="13"/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14. 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Oʻlimni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qayd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qonuniyligi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hamda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yozuvlarining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sifatli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toʻldirilishi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16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yoshgacha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vafot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etgan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bolalarning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tugʻilganlik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haqidagi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guvohnomalarini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belgilangan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tartibda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yoʻq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dalolatnomalar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tuzib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borilishi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ahvoli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15. 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yozuvlarini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tiklash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yozuvlarini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oʻzgartirish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tuzatish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toʻldirish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;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familiya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ism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ota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ismini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oʻzgartirish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;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yozuvlarini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bekor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qilishning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qonuniyligi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D2087A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D2087A">
        <w:rPr>
          <w:rFonts w:eastAsiaTheme="minorHAnsi"/>
          <w:b/>
          <w:bCs/>
          <w:sz w:val="28"/>
          <w:szCs w:val="28"/>
          <w:lang w:val="en-US" w:eastAsia="en-US"/>
        </w:rPr>
        <w:t>16. 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Takroriy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guvohnomalar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boshqa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maʼlumotlar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berishning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asosliligi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hamda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bu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haqida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yozuvlariga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(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elektron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koʻrinishdagi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)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tegishli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belgilar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kiritilganligi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. </w:t>
      </w:r>
    </w:p>
    <w:p w:rsidR="00FA0420" w:rsidRPr="00D2087A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D2087A">
        <w:rPr>
          <w:rFonts w:eastAsiaTheme="minorHAnsi"/>
          <w:b/>
          <w:bCs/>
          <w:sz w:val="28"/>
          <w:szCs w:val="28"/>
          <w:lang w:val="en-US" w:eastAsia="en-US"/>
        </w:rPr>
        <w:t>17.</w:t>
      </w:r>
      <w:r w:rsidRPr="00D2087A">
        <w:rPr>
          <w:rFonts w:eastAsiaTheme="minorHAnsi"/>
          <w:sz w:val="28"/>
          <w:szCs w:val="28"/>
          <w:lang w:val="en-US" w:eastAsia="en-US"/>
        </w:rPr>
        <w:t> </w:t>
      </w:r>
      <w:bookmarkStart w:id="14" w:name="_Hlk112498843"/>
      <w:bookmarkEnd w:id="14"/>
      <w:r w:rsidRPr="00D2087A">
        <w:rPr>
          <w:rFonts w:eastAsiaTheme="minorHAnsi"/>
          <w:sz w:val="28"/>
          <w:szCs w:val="28"/>
          <w:lang w:val="en-US" w:eastAsia="en-US"/>
        </w:rPr>
        <w:t xml:space="preserve">FHDY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boʻlimida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boshqarma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tomonidan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gerbli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guvohnomalarni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sarflash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uchun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berilgan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yuritilib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kelinayotgan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barcha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turdagi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sarflash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kitoblarining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belgilangan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tartibda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yuritilishi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ahvoli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D2087A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D2087A">
        <w:rPr>
          <w:rFonts w:eastAsiaTheme="minorHAnsi"/>
          <w:b/>
          <w:bCs/>
          <w:sz w:val="28"/>
          <w:szCs w:val="28"/>
          <w:lang w:val="en-US" w:eastAsia="en-US"/>
        </w:rPr>
        <w:t>18. </w:t>
      </w:r>
      <w:bookmarkStart w:id="15" w:name="_Hlk112498904"/>
      <w:bookmarkEnd w:id="15"/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Arxiv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holatini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.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Arxiv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fondi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alfavit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daftarlarining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yuritilishi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yozuvlarini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inventarizatsiya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qilish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dalolatnoma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yozuvlarining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“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FHDYning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yagona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elektron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arxivi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”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axborot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tizimiga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kiritish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JSHSHIR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biriktirish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ahvolini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D2087A">
        <w:rPr>
          <w:rFonts w:eastAsiaTheme="minorHAnsi"/>
          <w:sz w:val="28"/>
          <w:szCs w:val="28"/>
          <w:lang w:val="en-US" w:eastAsia="en-US"/>
        </w:rPr>
        <w:t>oʻrganish</w:t>
      </w:r>
      <w:proofErr w:type="spellEnd"/>
      <w:r w:rsidRPr="00D2087A">
        <w:rPr>
          <w:rFonts w:eastAsiaTheme="minorHAnsi"/>
          <w:sz w:val="28"/>
          <w:szCs w:val="28"/>
          <w:lang w:val="en-US" w:eastAsia="en-US"/>
        </w:rPr>
        <w:t>.</w:t>
      </w:r>
    </w:p>
    <w:p w:rsidR="00FA0420" w:rsidRPr="00703C55" w:rsidRDefault="00FA0420" w:rsidP="00FA0420">
      <w:pPr>
        <w:autoSpaceDE w:val="0"/>
        <w:autoSpaceDN w:val="0"/>
        <w:adjustRightInd w:val="0"/>
        <w:spacing w:after="165" w:line="276" w:lineRule="auto"/>
        <w:ind w:firstLine="705"/>
        <w:jc w:val="both"/>
        <w:rPr>
          <w:rFonts w:eastAsiaTheme="minorHAnsi"/>
          <w:sz w:val="28"/>
          <w:szCs w:val="28"/>
          <w:lang w:val="en-US" w:eastAsia="en-US"/>
        </w:rPr>
      </w:pPr>
      <w:r w:rsidRPr="00703C55">
        <w:rPr>
          <w:rFonts w:eastAsiaTheme="minorHAnsi"/>
          <w:b/>
          <w:bCs/>
          <w:sz w:val="28"/>
          <w:szCs w:val="28"/>
          <w:lang w:val="en-US" w:eastAsia="en-US"/>
        </w:rPr>
        <w:t>19. 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Gerbli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guvohnomalarning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hisobga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olinishi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saqlanishi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va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sarflanishi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holati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yuzasidan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alohida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maʼlumotnoma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03C55">
        <w:rPr>
          <w:rFonts w:eastAsiaTheme="minorHAnsi"/>
          <w:sz w:val="28"/>
          <w:szCs w:val="28"/>
          <w:lang w:val="en-US" w:eastAsia="en-US"/>
        </w:rPr>
        <w:t>tuzish</w:t>
      </w:r>
      <w:proofErr w:type="spellEnd"/>
      <w:r w:rsidRPr="00703C55">
        <w:rPr>
          <w:rFonts w:eastAsiaTheme="minorHAnsi"/>
          <w:sz w:val="28"/>
          <w:szCs w:val="28"/>
          <w:lang w:val="en-US" w:eastAsia="en-US"/>
        </w:rPr>
        <w:t>.</w:t>
      </w:r>
    </w:p>
    <w:p w:rsidR="0011110E" w:rsidRPr="00FA0420" w:rsidRDefault="0011110E" w:rsidP="00FA0420">
      <w:pPr>
        <w:rPr>
          <w:rFonts w:eastAsiaTheme="minorHAnsi"/>
          <w:lang w:val="en-US"/>
        </w:rPr>
      </w:pPr>
      <w:bookmarkStart w:id="16" w:name="_GoBack"/>
      <w:bookmarkEnd w:id="16"/>
    </w:p>
    <w:sectPr w:rsidR="0011110E" w:rsidRPr="00FA0420" w:rsidSect="00703C55">
      <w:pgSz w:w="11906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C46"/>
    <w:multiLevelType w:val="hybridMultilevel"/>
    <w:tmpl w:val="2EC81E88"/>
    <w:lvl w:ilvl="0" w:tplc="A8C655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03"/>
    <w:rsid w:val="00002326"/>
    <w:rsid w:val="00007022"/>
    <w:rsid w:val="00016403"/>
    <w:rsid w:val="00023276"/>
    <w:rsid w:val="00024F8F"/>
    <w:rsid w:val="00026054"/>
    <w:rsid w:val="00032E64"/>
    <w:rsid w:val="00042259"/>
    <w:rsid w:val="00046D1F"/>
    <w:rsid w:val="00084CF9"/>
    <w:rsid w:val="0009036A"/>
    <w:rsid w:val="000C4B0B"/>
    <w:rsid w:val="000C5D84"/>
    <w:rsid w:val="000D2857"/>
    <w:rsid w:val="0011110E"/>
    <w:rsid w:val="00127FDD"/>
    <w:rsid w:val="001340D0"/>
    <w:rsid w:val="001528F6"/>
    <w:rsid w:val="00160D5F"/>
    <w:rsid w:val="00163B34"/>
    <w:rsid w:val="00187053"/>
    <w:rsid w:val="001A3712"/>
    <w:rsid w:val="001C3D0C"/>
    <w:rsid w:val="001C429E"/>
    <w:rsid w:val="001C6404"/>
    <w:rsid w:val="001F2600"/>
    <w:rsid w:val="00232864"/>
    <w:rsid w:val="002337D5"/>
    <w:rsid w:val="00253FA1"/>
    <w:rsid w:val="00261FFC"/>
    <w:rsid w:val="00274262"/>
    <w:rsid w:val="0028241D"/>
    <w:rsid w:val="0029264A"/>
    <w:rsid w:val="002A5CF2"/>
    <w:rsid w:val="002B27BE"/>
    <w:rsid w:val="002B4A35"/>
    <w:rsid w:val="002E0036"/>
    <w:rsid w:val="002E085C"/>
    <w:rsid w:val="002E16FE"/>
    <w:rsid w:val="002F32A1"/>
    <w:rsid w:val="002F619E"/>
    <w:rsid w:val="00301E48"/>
    <w:rsid w:val="003046BC"/>
    <w:rsid w:val="00310802"/>
    <w:rsid w:val="00355DEB"/>
    <w:rsid w:val="00363202"/>
    <w:rsid w:val="003734AF"/>
    <w:rsid w:val="00375E3C"/>
    <w:rsid w:val="00390A4C"/>
    <w:rsid w:val="00402385"/>
    <w:rsid w:val="004135B7"/>
    <w:rsid w:val="004176FC"/>
    <w:rsid w:val="0045673B"/>
    <w:rsid w:val="004647AB"/>
    <w:rsid w:val="004751E8"/>
    <w:rsid w:val="004A0CF6"/>
    <w:rsid w:val="004B0047"/>
    <w:rsid w:val="004D0107"/>
    <w:rsid w:val="004E6798"/>
    <w:rsid w:val="004F5A4D"/>
    <w:rsid w:val="005170E8"/>
    <w:rsid w:val="00536BFC"/>
    <w:rsid w:val="0054782F"/>
    <w:rsid w:val="00560A4F"/>
    <w:rsid w:val="005636B8"/>
    <w:rsid w:val="0057008E"/>
    <w:rsid w:val="00571D5F"/>
    <w:rsid w:val="00583598"/>
    <w:rsid w:val="00590260"/>
    <w:rsid w:val="00594B6B"/>
    <w:rsid w:val="005F291A"/>
    <w:rsid w:val="006061C0"/>
    <w:rsid w:val="00610578"/>
    <w:rsid w:val="00613451"/>
    <w:rsid w:val="0063505A"/>
    <w:rsid w:val="006406B4"/>
    <w:rsid w:val="006704A8"/>
    <w:rsid w:val="00672A17"/>
    <w:rsid w:val="006A0197"/>
    <w:rsid w:val="006B349F"/>
    <w:rsid w:val="00701047"/>
    <w:rsid w:val="00702A73"/>
    <w:rsid w:val="00717AC6"/>
    <w:rsid w:val="00721B11"/>
    <w:rsid w:val="007334BA"/>
    <w:rsid w:val="007339F6"/>
    <w:rsid w:val="0073518A"/>
    <w:rsid w:val="00757B12"/>
    <w:rsid w:val="00765A74"/>
    <w:rsid w:val="00766612"/>
    <w:rsid w:val="0078156C"/>
    <w:rsid w:val="00783FFA"/>
    <w:rsid w:val="007944A2"/>
    <w:rsid w:val="007B69CE"/>
    <w:rsid w:val="007B75A3"/>
    <w:rsid w:val="007E3D9F"/>
    <w:rsid w:val="007E5D10"/>
    <w:rsid w:val="007F4C2E"/>
    <w:rsid w:val="00851150"/>
    <w:rsid w:val="008734D1"/>
    <w:rsid w:val="00873EBE"/>
    <w:rsid w:val="00882BA6"/>
    <w:rsid w:val="00897302"/>
    <w:rsid w:val="008D4599"/>
    <w:rsid w:val="008F7C9B"/>
    <w:rsid w:val="00905896"/>
    <w:rsid w:val="00954A23"/>
    <w:rsid w:val="00961D9F"/>
    <w:rsid w:val="00964EA8"/>
    <w:rsid w:val="009924EA"/>
    <w:rsid w:val="00996680"/>
    <w:rsid w:val="009B70EF"/>
    <w:rsid w:val="009D082E"/>
    <w:rsid w:val="009D141C"/>
    <w:rsid w:val="009E5040"/>
    <w:rsid w:val="00A6283A"/>
    <w:rsid w:val="00A7714B"/>
    <w:rsid w:val="00AA2029"/>
    <w:rsid w:val="00AA3FEA"/>
    <w:rsid w:val="00AB312D"/>
    <w:rsid w:val="00AE6D07"/>
    <w:rsid w:val="00AF2399"/>
    <w:rsid w:val="00AF50F6"/>
    <w:rsid w:val="00B03FB5"/>
    <w:rsid w:val="00B048EB"/>
    <w:rsid w:val="00B2005E"/>
    <w:rsid w:val="00B41BCC"/>
    <w:rsid w:val="00B6004A"/>
    <w:rsid w:val="00B76391"/>
    <w:rsid w:val="00B827E5"/>
    <w:rsid w:val="00B91662"/>
    <w:rsid w:val="00BC3E5A"/>
    <w:rsid w:val="00BD1529"/>
    <w:rsid w:val="00BE071F"/>
    <w:rsid w:val="00C01FCD"/>
    <w:rsid w:val="00C16769"/>
    <w:rsid w:val="00C228FF"/>
    <w:rsid w:val="00C305DA"/>
    <w:rsid w:val="00C3481B"/>
    <w:rsid w:val="00C401F3"/>
    <w:rsid w:val="00C51828"/>
    <w:rsid w:val="00C73DB9"/>
    <w:rsid w:val="00C75EB4"/>
    <w:rsid w:val="00C820B4"/>
    <w:rsid w:val="00C94F72"/>
    <w:rsid w:val="00CC0E4E"/>
    <w:rsid w:val="00CE390D"/>
    <w:rsid w:val="00D5752C"/>
    <w:rsid w:val="00D66EDA"/>
    <w:rsid w:val="00D70CBE"/>
    <w:rsid w:val="00D8688F"/>
    <w:rsid w:val="00DA44A1"/>
    <w:rsid w:val="00DB1C02"/>
    <w:rsid w:val="00DC016E"/>
    <w:rsid w:val="00DC17F5"/>
    <w:rsid w:val="00DD275D"/>
    <w:rsid w:val="00DD447C"/>
    <w:rsid w:val="00E04889"/>
    <w:rsid w:val="00E3797B"/>
    <w:rsid w:val="00E458F6"/>
    <w:rsid w:val="00E54E37"/>
    <w:rsid w:val="00E61AD8"/>
    <w:rsid w:val="00E70112"/>
    <w:rsid w:val="00E71365"/>
    <w:rsid w:val="00E816BF"/>
    <w:rsid w:val="00E87A2B"/>
    <w:rsid w:val="00E916D0"/>
    <w:rsid w:val="00E97DBA"/>
    <w:rsid w:val="00EA09EC"/>
    <w:rsid w:val="00EA6656"/>
    <w:rsid w:val="00EB67EA"/>
    <w:rsid w:val="00EC3A48"/>
    <w:rsid w:val="00ED7C86"/>
    <w:rsid w:val="00EF3658"/>
    <w:rsid w:val="00F012FA"/>
    <w:rsid w:val="00F06D28"/>
    <w:rsid w:val="00F16195"/>
    <w:rsid w:val="00F30CA6"/>
    <w:rsid w:val="00F31E4E"/>
    <w:rsid w:val="00F5772B"/>
    <w:rsid w:val="00F72126"/>
    <w:rsid w:val="00F75BF6"/>
    <w:rsid w:val="00F96D4D"/>
    <w:rsid w:val="00FA0420"/>
    <w:rsid w:val="00FA1D94"/>
    <w:rsid w:val="00FC2298"/>
    <w:rsid w:val="00FE112D"/>
    <w:rsid w:val="00FE1333"/>
    <w:rsid w:val="00FF1FC4"/>
    <w:rsid w:val="00FF2018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C2D91-12D0-4CFC-B3BF-A3A39B17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3658"/>
    <w:pPr>
      <w:ind w:left="720"/>
      <w:contextualSpacing/>
    </w:pPr>
  </w:style>
  <w:style w:type="paragraph" w:customStyle="1" w:styleId="Default">
    <w:name w:val="Default"/>
    <w:rsid w:val="00E37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9FDC-70BA-4813-8C52-0DBB75C8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MobilineWest</dc:creator>
  <cp:lastModifiedBy>Пользователь</cp:lastModifiedBy>
  <cp:revision>5</cp:revision>
  <cp:lastPrinted>2022-11-07T05:15:00Z</cp:lastPrinted>
  <dcterms:created xsi:type="dcterms:W3CDTF">2022-11-07T10:45:00Z</dcterms:created>
  <dcterms:modified xsi:type="dcterms:W3CDTF">2023-01-31T04:43:00Z</dcterms:modified>
</cp:coreProperties>
</file>